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4666"/>
        <w:gridCol w:w="1004"/>
        <w:gridCol w:w="283"/>
        <w:gridCol w:w="414"/>
        <w:gridCol w:w="709"/>
        <w:gridCol w:w="709"/>
        <w:gridCol w:w="153"/>
        <w:gridCol w:w="425"/>
        <w:gridCol w:w="425"/>
        <w:gridCol w:w="1265"/>
        <w:gridCol w:w="1134"/>
        <w:gridCol w:w="408"/>
        <w:gridCol w:w="726"/>
        <w:gridCol w:w="1134"/>
        <w:gridCol w:w="1134"/>
        <w:gridCol w:w="294"/>
      </w:tblGrid>
      <w:tr>
        <w:trPr>
          <w:trHeight w:hRule="exact" w:val="277.83"/>
        </w:trPr>
        <w:tc>
          <w:tcPr>
            <w:tcW w:w="709" w:type="dxa"/>
          </w:tcPr>
          <w:p/>
        </w:tc>
        <w:tc>
          <w:tcPr>
            <w:tcW w:w="5670" w:type="dxa"/>
            <w:gridSpan w:val="2"/>
            <w:tcBorders>
</w:tcBorders>
            <w:vMerge w:val="restart"/>
            <w:shd w:val="clear" w:color="#FFFFFF" w:fill="#FFFFFF"/>
            <w:vAlign w:val="top"/>
            <w:tcMar>
              <w:top w:w="0" w:type="dxa"/>
              <w:left w:w="4" w:type="dxa"/>
              <w:bottom w:w="0" w:type="dxa"/>
              <w:right w:w="4" w:type="dxa"/>
            </w:tcMar>
          </w:tcPr>
          <w:p>
            <w:r>
              <w:rPr>
                <w:noProof/>
              </w:rPr>
              <w:drawing>
                <wp:inline distT="0" distB="0" distL="0" distR="0">
                  <wp:extent cx="3600000" cy="36000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11"/>
                          <a:stretch>
                            <a:fillRect/>
                          </a:stretch>
                        </pic:blipFill>
                        <pic:spPr>
                          <a:xfrm>
                            <a:off x="0" y="0"/>
                            <a:ext cx="3600000" cy="360000"/>
                          </a:xfrm>
                          <a:prstGeom prst="rect">
                            <a:avLst/>
                          </a:prstGeom>
                        </pic:spPr>
                      </pic:pic>
                    </a:graphicData>
                  </a:graphic>
                </wp:inline>
              </w:drawing>
            </w:r>
          </w:p>
        </w:tc>
        <w:tc>
          <w:tcPr>
            <w:tcW w:w="283" w:type="dxa"/>
          </w:tcPr>
          <w:p/>
        </w:tc>
        <w:tc>
          <w:tcPr>
            <w:tcW w:w="414" w:type="dxa"/>
          </w:tcPr>
          <w:p/>
        </w:tc>
        <w:tc>
          <w:tcPr>
            <w:tcW w:w="709" w:type="dxa"/>
          </w:tcPr>
          <w:p/>
        </w:tc>
        <w:tc>
          <w:tcPr>
            <w:tcW w:w="709" w:type="dxa"/>
          </w:tcPr>
          <w:p/>
        </w:tc>
        <w:tc>
          <w:tcPr>
            <w:tcW w:w="153" w:type="dxa"/>
          </w:tcPr>
          <w:p/>
        </w:tc>
        <w:tc>
          <w:tcPr>
            <w:tcW w:w="425" w:type="dxa"/>
          </w:tcPr>
          <w:p/>
        </w:tc>
        <w:tc>
          <w:tcPr>
            <w:tcW w:w="6520.5" w:type="dxa"/>
            <w:gridSpan w:val="8"/>
            <w:tcBorders>
</w:tcBorders>
            <w:shd w:val="clear" w:color="#000000" w:fill="#FFFFFF"/>
            <w:vAlign w:val="top"/>
            <w:tcMar>
              <w:top w:w="0" w:type="dxa"/>
              <w:left w:w="38" w:type="dxa"/>
              <w:bottom w:w="0" w:type="dxa"/>
              <w:right w:w="38" w:type="dxa"/>
            </w:tcMar>
          </w:tcPr>
          <w:p/>
        </w:tc>
      </w:tr>
      <w:tr>
        <w:trPr>
          <w:trHeight w:hRule="exact" w:val="277.83"/>
        </w:trPr>
        <w:tc>
          <w:tcPr>
            <w:tcW w:w="709" w:type="dxa"/>
          </w:tcPr>
          <w:p/>
        </w:tc>
        <w:tc>
          <w:tcPr>
            <w:tcW w:w="5670" w:type="dxa"/>
            <w:gridSpan w:val="2"/>
            <w:tcBorders>
</w:tcBorders>
            <w:vMerge/>
            <w:shd w:val="clear" w:color="#FFFFFF" w:fill="#FFFFFF"/>
            <w:vAlign w:val="top"/>
            <w:tcMar>
              <w:top w:w="0" w:type="dxa"/>
              <w:left w:w="4" w:type="dxa"/>
              <w:bottom w:w="0" w:type="dxa"/>
              <w:right w:w="4" w:type="dxa"/>
            </w:tcMar>
          </w:tcPr>
          <w:p/>
        </w:tc>
        <w:tc>
          <w:tcPr>
            <w:tcW w:w="283" w:type="dxa"/>
          </w:tcPr>
          <w:p/>
        </w:tc>
        <w:tc>
          <w:tcPr>
            <w:tcW w:w="414" w:type="dxa"/>
          </w:tcPr>
          <w:p/>
        </w:tc>
        <w:tc>
          <w:tcPr>
            <w:tcW w:w="709" w:type="dxa"/>
          </w:tcPr>
          <w:p/>
        </w:tc>
        <w:tc>
          <w:tcPr>
            <w:tcW w:w="709" w:type="dxa"/>
          </w:tcPr>
          <w:p/>
        </w:tc>
        <w:tc>
          <w:tcPr>
            <w:tcW w:w="153" w:type="dxa"/>
          </w:tcPr>
          <w:p/>
        </w:tc>
        <w:tc>
          <w:tcPr>
            <w:tcW w:w="425" w:type="dxa"/>
          </w:tcPr>
          <w:p/>
        </w:tc>
        <w:tc>
          <w:tcPr>
            <w:tcW w:w="425" w:type="dxa"/>
          </w:tcPr>
          <w:p/>
        </w:tc>
        <w:tc>
          <w:tcPr>
            <w:tcW w:w="1265" w:type="dxa"/>
          </w:tcPr>
          <w:p/>
        </w:tc>
        <w:tc>
          <w:tcPr>
            <w:tcW w:w="1134" w:type="dxa"/>
          </w:tcPr>
          <w:p/>
        </w:tc>
        <w:tc>
          <w:tcPr>
            <w:tcW w:w="408" w:type="dxa"/>
          </w:tcPr>
          <w:p/>
        </w:tc>
        <w:tc>
          <w:tcPr>
            <w:tcW w:w="726" w:type="dxa"/>
          </w:tcPr>
          <w:p/>
        </w:tc>
        <w:tc>
          <w:tcPr>
            <w:tcW w:w="1134" w:type="dxa"/>
          </w:tcPr>
          <w:p/>
        </w:tc>
        <w:tc>
          <w:tcPr>
            <w:tcW w:w="1134" w:type="dxa"/>
          </w:tcPr>
          <w:p/>
        </w:tc>
        <w:tc>
          <w:tcPr>
            <w:tcW w:w="294" w:type="dxa"/>
          </w:tcPr>
          <w:p/>
        </w:tc>
      </w:tr>
      <w:tr>
        <w:trPr>
          <w:trHeight w:hRule="exact" w:val="185.073"/>
        </w:trPr>
        <w:tc>
          <w:tcPr>
            <w:tcW w:w="709" w:type="dxa"/>
          </w:tcPr>
          <w:p/>
        </w:tc>
        <w:tc>
          <w:tcPr>
            <w:tcW w:w="5953.5" w:type="dxa"/>
            <w:gridSpan w:val="3"/>
            <w:tcBorders>
</w:tcBorders>
            <w:shd w:val="clear" w:color="#000000" w:fill="#FFFFFF"/>
            <w:vAlign w:val="center"/>
            <w:tcMar>
              <w:top w:w="0" w:type="dxa"/>
              <w:left w:w="38" w:type="dxa"/>
              <w:bottom w:w="0" w:type="dxa"/>
              <w:right w:w="38" w:type="dxa"/>
            </w:tcMar>
          </w:tcPr>
          <w:p>
            <w:pPr>
              <w:jc w:val="left"/>
              <w:spacing w:after="0" w:line="165" w:lineRule="auto"/>
              <w:rPr>
                <w:sz w:val="14"/>
                <w:szCs w:val="14"/>
              </w:rPr>
            </w:pPr>
            <w:r>
              <w:rPr>
                <w:rFonts w:ascii="Arial" w:hAnsi="Arial" w:cs="Arial"/>
                <w:b/>
                <w:color w:val="#000000"/>
                <w:sz w:val="14"/>
                <w:szCs w:val="14"/>
              </w:rPr>
              <w:t> Załącznik nr 2 do Uchwały nr … Rady Gminy Boleszkowice z dnia 26.06.2025 r.</w:t>
            </w:r>
          </w:p>
        </w:tc>
        <w:tc>
          <w:tcPr>
            <w:tcW w:w="414" w:type="dxa"/>
          </w:tcPr>
          <w:p/>
        </w:tc>
        <w:tc>
          <w:tcPr>
            <w:tcW w:w="709" w:type="dxa"/>
          </w:tcPr>
          <w:p/>
        </w:tc>
        <w:tc>
          <w:tcPr>
            <w:tcW w:w="709" w:type="dxa"/>
          </w:tcPr>
          <w:p/>
        </w:tc>
        <w:tc>
          <w:tcPr>
            <w:tcW w:w="153" w:type="dxa"/>
          </w:tcPr>
          <w:p/>
        </w:tc>
        <w:tc>
          <w:tcPr>
            <w:tcW w:w="425" w:type="dxa"/>
          </w:tcPr>
          <w:p/>
        </w:tc>
        <w:tc>
          <w:tcPr>
            <w:tcW w:w="425" w:type="dxa"/>
          </w:tcPr>
          <w:p/>
        </w:tc>
        <w:tc>
          <w:tcPr>
            <w:tcW w:w="1265" w:type="dxa"/>
          </w:tcPr>
          <w:p/>
        </w:tc>
        <w:tc>
          <w:tcPr>
            <w:tcW w:w="1134" w:type="dxa"/>
          </w:tcPr>
          <w:p/>
        </w:tc>
        <w:tc>
          <w:tcPr>
            <w:tcW w:w="408" w:type="dxa"/>
          </w:tcPr>
          <w:p/>
        </w:tc>
        <w:tc>
          <w:tcPr>
            <w:tcW w:w="726" w:type="dxa"/>
          </w:tcPr>
          <w:p/>
        </w:tc>
        <w:tc>
          <w:tcPr>
            <w:tcW w:w="1134" w:type="dxa"/>
          </w:tcPr>
          <w:p/>
        </w:tc>
        <w:tc>
          <w:tcPr>
            <w:tcW w:w="1134" w:type="dxa"/>
          </w:tcPr>
          <w:p/>
        </w:tc>
        <w:tc>
          <w:tcPr>
            <w:tcW w:w="294" w:type="dxa"/>
          </w:tcPr>
          <w:p/>
        </w:tc>
      </w:tr>
      <w:tr>
        <w:trPr>
          <w:trHeight w:hRule="exact" w:val="416.745"/>
        </w:trPr>
        <w:tc>
          <w:tcPr>
            <w:tcW w:w="709" w:type="dxa"/>
          </w:tcPr>
          <w:p/>
        </w:tc>
        <w:tc>
          <w:tcPr>
            <w:tcW w:w="4666" w:type="dxa"/>
          </w:tcPr>
          <w:p/>
        </w:tc>
        <w:tc>
          <w:tcPr>
            <w:tcW w:w="1004" w:type="dxa"/>
          </w:tcPr>
          <w:p/>
        </w:tc>
        <w:tc>
          <w:tcPr>
            <w:tcW w:w="283" w:type="dxa"/>
          </w:tcPr>
          <w:p/>
        </w:tc>
        <w:tc>
          <w:tcPr>
            <w:tcW w:w="414" w:type="dxa"/>
          </w:tcPr>
          <w:p/>
        </w:tc>
        <w:tc>
          <w:tcPr>
            <w:tcW w:w="709" w:type="dxa"/>
          </w:tcPr>
          <w:p/>
        </w:tc>
        <w:tc>
          <w:tcPr>
            <w:tcW w:w="709" w:type="dxa"/>
          </w:tcPr>
          <w:p/>
        </w:tc>
        <w:tc>
          <w:tcPr>
            <w:tcW w:w="153" w:type="dxa"/>
          </w:tcPr>
          <w:p/>
        </w:tc>
        <w:tc>
          <w:tcPr>
            <w:tcW w:w="850.5" w:type="dxa"/>
            <w:gridSpan w:val="2"/>
            <w:tcBorders>
</w:tcBorders>
            <w:shd w:val="clear" w:color="#000000" w:fill="#FFFFFF"/>
            <w:vAlign w:val="center"/>
            <w:tcMar>
              <w:top w:w="0" w:type="dxa"/>
              <w:left w:w="38" w:type="dxa"/>
              <w:bottom w:w="0" w:type="dxa"/>
              <w:right w:w="38" w:type="dxa"/>
            </w:tcMar>
          </w:tcPr>
          <w:p>
            <w:pPr>
              <w:jc w:val="center"/>
              <w:spacing w:after="0" w:line="120" w:lineRule="auto"/>
              <w:rPr>
                <w:sz w:val="10"/>
                <w:szCs w:val="10"/>
              </w:rPr>
            </w:pPr>
            <w:r>
              <w:rPr>
                <w:rFonts w:ascii="Arial" w:hAnsi="Arial" w:cs="Arial"/>
                <w:color w:val="#000000"/>
                <w:sz w:val="10"/>
                <w:szCs w:val="10"/>
              </w:rPr>
              <w:t> kwoty w zł</w:t>
            </w:r>
          </w:p>
        </w:tc>
        <w:tc>
          <w:tcPr>
            <w:tcW w:w="1265" w:type="dxa"/>
          </w:tcPr>
          <w:p/>
        </w:tc>
        <w:tc>
          <w:tcPr>
            <w:tcW w:w="1134" w:type="dxa"/>
          </w:tcPr>
          <w:p/>
        </w:tc>
        <w:tc>
          <w:tcPr>
            <w:tcW w:w="408" w:type="dxa"/>
          </w:tcPr>
          <w:p/>
        </w:tc>
        <w:tc>
          <w:tcPr>
            <w:tcW w:w="726" w:type="dxa"/>
          </w:tcPr>
          <w:p/>
        </w:tc>
        <w:tc>
          <w:tcPr>
            <w:tcW w:w="1134" w:type="dxa"/>
          </w:tcPr>
          <w:p/>
        </w:tc>
        <w:tc>
          <w:tcPr>
            <w:tcW w:w="1134" w:type="dxa"/>
          </w:tcPr>
          <w:p/>
        </w:tc>
        <w:tc>
          <w:tcPr>
            <w:tcW w:w="294" w:type="dxa"/>
          </w:tcPr>
          <w:p/>
        </w:tc>
      </w:tr>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L.p.</w:t>
            </w:r>
          </w:p>
        </w:tc>
        <w:tc>
          <w:tcPr>
            <w:tcW w:w="4666.3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Nazwa i cel</w:t>
            </w:r>
          </w:p>
        </w:tc>
        <w:tc>
          <w:tcPr>
            <w:tcW w:w="1701"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Jednostka odpowiedzialna lub koordynująca</w:t>
            </w:r>
          </w:p>
        </w:tc>
        <w:tc>
          <w:tcPr>
            <w:tcW w:w="1418.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Okres realizacji</w:t>
            </w:r>
          </w:p>
        </w:tc>
        <w:tc>
          <w:tcPr>
            <w:tcW w:w="1134.3"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Łączne nakłady finansowe</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2025</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2026</w:t>
            </w:r>
          </w:p>
        </w:tc>
        <w:tc>
          <w:tcPr>
            <w:tcW w:w="1134"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2027</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2028</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zobowiązań</w:t>
            </w:r>
          </w:p>
        </w:tc>
        <w:tc>
          <w:tcPr>
            <w:tcW w:w="294" w:type="dxa"/>
          </w:tcPr>
          <w:p/>
        </w:tc>
      </w:tr>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4666.3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701"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Od</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Do</w:t>
            </w:r>
          </w:p>
        </w:tc>
        <w:tc>
          <w:tcPr>
            <w:tcW w:w="1134.3"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przedsięwzięcia-ogółem (1.1+1.2+1.3)</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28 275 812,23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17 940 854,65</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3 020 207,65</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1 547 985,16</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22 538 871,78</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1.a</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2 276 952,73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1 080 135,32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1 169 608,28</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1.b</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25 998 859,50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16 860 719,33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2 990 383,33</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1 518 160,84</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21 369 263,50</w:t>
            </w:r>
          </w:p>
        </w:tc>
        <w:tc>
          <w:tcPr>
            <w:tcW w:w="294" w:type="dxa"/>
          </w:tcPr>
          <w:p/>
        </w:tc>
      </w:tr>
      <w:tr>
        <w:trPr>
          <w:trHeight w:hRule="exact" w:val="534.492"/>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programy, projekty lub zadania związane z programami realizowanymi z udziałem środków, o których mowa w art.5 ust.1 pkt 2 i 3 ustawy z dnia 27 sierpnia 2009.r. o finansach publicznych (Dz.U.Nr 157, poz.1240,z późn.zm.), z tego:</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4 874 082,00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4 049 045,33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43 383,33</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43 383,34</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4 135 812,00</w:t>
            </w:r>
          </w:p>
        </w:tc>
        <w:tc>
          <w:tcPr>
            <w:tcW w:w="294" w:type="dxa"/>
          </w:tcPr>
          <w:p/>
        </w:tc>
      </w:tr>
      <w:tr>
        <w:trPr>
          <w:trHeight w:hRule="exact" w:val="214.4732"/>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4 874 082,00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4 049 045,33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43 383,33</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43 383,34</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4 135 812,00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Budowa kanalizacji sanitarnej w m. Chwarszczany</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3 600 000,00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2 861 730,00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2 861 730,00</w:t>
            </w:r>
          </w:p>
        </w:tc>
        <w:tc>
          <w:tcPr>
            <w:tcW w:w="294" w:type="dxa"/>
          </w:tcPr>
          <w:p/>
        </w:tc>
      </w:tr>
      <w:tr>
        <w:trPr>
          <w:trHeight w:hRule="exact" w:val="692.3696"/>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Zakup średniego samochodu ratowniczo-gaśniczego dla ratownictwa przeciwpowodziowego i przeciwpożarowego dla OSP Namyślin - Poprawa bezpieczeństwa  terenów nadodrzańskich poprzez zakup średniego samochodu ratowniczo-gasniczego dla OSP Namyślin</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1 143 932,00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1 143 932,00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1 143 932,00</w:t>
            </w:r>
          </w:p>
        </w:tc>
        <w:tc>
          <w:tcPr>
            <w:tcW w:w="294" w:type="dxa"/>
          </w:tcPr>
          <w:p/>
        </w:tc>
      </w:tr>
      <w:tr>
        <w:trPr>
          <w:trHeight w:hRule="exact" w:val="850.1017"/>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1.1.2.3</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Wsparcie  jednosytek Ochpotniczych Straży Pożarnych województwa zachodniopomorskiego w usuwaniu skutków zmian klimatycznych - Wyposażenie jednostek OSP województwa zachodniopomorskiego w sprzęt wykorzystywany w sytuacjach wystąpienia zagrożeń związanych z zachodzacymi zmianami klimatu, zmianami w środowisku</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2027</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130 150,00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43 383,33</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43 383,33</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43 383,34</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130 150,00</w:t>
            </w:r>
          </w:p>
        </w:tc>
        <w:tc>
          <w:tcPr>
            <w:tcW w:w="294" w:type="dxa"/>
          </w:tcPr>
          <w:p/>
        </w:tc>
      </w:tr>
      <w:tr>
        <w:trPr>
          <w:trHeight w:hRule="exact" w:val="214.4725"/>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programy, projekty lub zadania związane z umowami partnerstwa publiczno-prywatnego, z tego:</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1.2.1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1.2.2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programy, projekty lub zadania pozostałe (inne niż wymienione w pkt 1.1 i 1.2),z tego</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23 401 730,23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13 891 809,32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2 976 824,32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1 504 601,82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18 403 059,78</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2 276 952,73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1 080 135,32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1 169 608,28</w:t>
            </w:r>
          </w:p>
        </w:tc>
        <w:tc>
          <w:tcPr>
            <w:tcW w:w="294" w:type="dxa"/>
          </w:tcPr>
          <w:p/>
        </w:tc>
      </w:tr>
      <w:tr>
        <w:trPr>
          <w:trHeight w:hRule="exact" w:val="692.3705"/>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1.3.1.1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Dzierżawa infrastruktury oświetleniowej - czynsz związany z dzierżawieniem części infrastruktury oświetleniowej w celu wykonania planowanej wymiany opraw nieenergooszczędnych na nowe oprawy oświetleniowe LED</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2029</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119 297,28</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119 297,28</w:t>
            </w:r>
          </w:p>
        </w:tc>
        <w:tc>
          <w:tcPr>
            <w:tcW w:w="294" w:type="dxa"/>
          </w:tcPr>
          <w:p/>
        </w:tc>
      </w:tr>
      <w:tr>
        <w:trPr>
          <w:trHeight w:hRule="exact" w:val="534.4909"/>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1.3.1.2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Gospodarka odpadami komunalnymi-zapewnmienie mieszkańcom odbioru i utylizacji odpadów komunalnych - Gospodarka odpadami kom,unalnymi - odbiór i transport odpadów</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2 157 655,45</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1 050 311,00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1 050 311,00</w:t>
            </w:r>
          </w:p>
        </w:tc>
        <w:tc>
          <w:tcPr>
            <w:tcW w:w="294" w:type="dxa"/>
          </w:tcPr>
          <w:p/>
        </w:tc>
      </w:tr>
      <w:tr>
        <w:trPr>
          <w:trHeight w:hRule="exact" w:val="214.4743"/>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21 124 777,50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12 811 674,00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2 947 000,00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1 474 777,50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17 233 451,50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rozbudowa sieci wodociągowej w m , Boleszkowice, Gudzisz</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2027</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3 244 777,50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2 000 000,00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1 244 777,50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3 244 777,50</w:t>
            </w:r>
          </w:p>
        </w:tc>
        <w:tc>
          <w:tcPr>
            <w:tcW w:w="294" w:type="dxa"/>
          </w:tcPr>
          <w:p/>
        </w:tc>
      </w:tr>
      <w:tr>
        <w:trPr>
          <w:trHeight w:hRule="exact" w:val="376.7602"/>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Budowa sieci kanalizacji sanitarnej wraz z lokalną oczyszczalią ścieków w miejscowości Namyślin</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8 350 000,00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8 042 374,00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8 042 374,00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1.3.2.3</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Modernizacja infrastruktury wodociągowej na terenie gminy Boleszkowice</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2 000 000,00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1 960 000,00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1 960 000,00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1.3.2.4</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Rekultywacja wysypiska śmieci</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160 000,00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47 000,00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147 000,00</w:t>
            </w:r>
          </w:p>
        </w:tc>
        <w:tc>
          <w:tcPr>
            <w:tcW w:w="294" w:type="dxa"/>
          </w:tcPr>
          <w:p/>
        </w:tc>
      </w:tr>
      <w:tr>
        <w:trPr>
          <w:trHeight w:hRule="exact" w:val="602.9943"/>
        </w:trPr>
        <w:tc>
          <w:tcPr>
            <w:tcW w:w="709" w:type="dxa"/>
          </w:tcPr>
          <w:p/>
        </w:tc>
        <w:tc>
          <w:tcPr>
            <w:tcW w:w="4666" w:type="dxa"/>
          </w:tcPr>
          <w:p/>
        </w:tc>
        <w:tc>
          <w:tcPr>
            <w:tcW w:w="1004" w:type="dxa"/>
          </w:tcPr>
          <w:p/>
        </w:tc>
        <w:tc>
          <w:tcPr>
            <w:tcW w:w="283" w:type="dxa"/>
          </w:tcPr>
          <w:p/>
        </w:tc>
        <w:tc>
          <w:tcPr>
            <w:tcW w:w="414" w:type="dxa"/>
          </w:tcPr>
          <w:p/>
        </w:tc>
        <w:tc>
          <w:tcPr>
            <w:tcW w:w="709" w:type="dxa"/>
          </w:tcPr>
          <w:p/>
        </w:tc>
        <w:tc>
          <w:tcPr>
            <w:tcW w:w="709" w:type="dxa"/>
          </w:tcPr>
          <w:p/>
        </w:tc>
        <w:tc>
          <w:tcPr>
            <w:tcW w:w="153" w:type="dxa"/>
          </w:tcPr>
          <w:p/>
        </w:tc>
        <w:tc>
          <w:tcPr>
            <w:tcW w:w="425" w:type="dxa"/>
          </w:tcPr>
          <w:p/>
        </w:tc>
        <w:tc>
          <w:tcPr>
            <w:tcW w:w="425" w:type="dxa"/>
          </w:tcPr>
          <w:p/>
        </w:tc>
        <w:tc>
          <w:tcPr>
            <w:tcW w:w="1265" w:type="dxa"/>
          </w:tcPr>
          <w:p/>
        </w:tc>
        <w:tc>
          <w:tcPr>
            <w:tcW w:w="1134" w:type="dxa"/>
          </w:tcPr>
          <w:p/>
        </w:tc>
        <w:tc>
          <w:tcPr>
            <w:tcW w:w="408" w:type="dxa"/>
          </w:tcPr>
          <w:p/>
        </w:tc>
        <w:tc>
          <w:tcPr>
            <w:tcW w:w="3402" w:type="dxa"/>
            <w:gridSpan w:val="4"/>
            <w:tcBorders>
</w:tcBorders>
            <w:shd w:val="clear" w:color="#000000" w:fill="#FFFFFF"/>
            <w:vAlign w:val="top"/>
            <w:tcMar>
              <w:top w:w="0" w:type="dxa"/>
              <w:left w:w="38" w:type="dxa"/>
              <w:bottom w:w="0" w:type="dxa"/>
              <w:right w:w="38" w:type="dxa"/>
            </w:tcMar>
          </w:tcPr>
          <w:p>
            <w:pPr>
              <w:jc w:val="right"/>
              <w:spacing w:after="0" w:line="120" w:lineRule="auto"/>
              <w:rPr>
                <w:sz w:val="10"/>
                <w:szCs w:val="10"/>
              </w:rPr>
            </w:pPr>
            <w:r>
              <w:rPr>
                <w:rFonts w:ascii="Arial" w:hAnsi="Arial" w:cs="Arial"/>
                <w:color w:val="#000000"/>
                <w:sz w:val="10"/>
                <w:szCs w:val="10"/>
              </w:rPr>
              <w:t> Strona 1 z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8"/>
        <w:gridCol w:w="4666"/>
        <w:gridCol w:w="1701"/>
        <w:gridCol w:w="709"/>
        <w:gridCol w:w="709"/>
        <w:gridCol w:w="1134"/>
        <w:gridCol w:w="1134"/>
        <w:gridCol w:w="1134"/>
        <w:gridCol w:w="408"/>
        <w:gridCol w:w="726"/>
        <w:gridCol w:w="1134"/>
        <w:gridCol w:w="1134"/>
        <w:gridCol w:w="408"/>
      </w:tblGrid>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L.p.</w:t>
            </w:r>
          </w:p>
        </w:tc>
        <w:tc>
          <w:tcPr>
            <w:tcW w:w="4666.3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Nazwa i cel</w:t>
            </w:r>
          </w:p>
        </w:tc>
        <w:tc>
          <w:tcPr>
            <w:tcW w:w="1701"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Jednostka odpowiedzialna lub koordynująca</w:t>
            </w:r>
          </w:p>
        </w:tc>
        <w:tc>
          <w:tcPr>
            <w:tcW w:w="1418.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Okres realizacji</w:t>
            </w:r>
          </w:p>
        </w:tc>
        <w:tc>
          <w:tcPr>
            <w:tcW w:w="1134.3"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Łączne nakłady finansowe</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2025</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2026</w:t>
            </w:r>
          </w:p>
        </w:tc>
        <w:tc>
          <w:tcPr>
            <w:tcW w:w="1134"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2027</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2028</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zobowiązań</w:t>
            </w:r>
          </w:p>
        </w:tc>
        <w:tc>
          <w:tcPr>
            <w:tcW w:w="408" w:type="dxa"/>
          </w:tcPr>
          <w:p/>
        </w:tc>
      </w:tr>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4666.3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701"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Od</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Do</w:t>
            </w:r>
          </w:p>
        </w:tc>
        <w:tc>
          <w:tcPr>
            <w:tcW w:w="1134.3"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408" w:type="dxa"/>
          </w:tcPr>
          <w:p/>
        </w:tc>
      </w:tr>
      <w:tr>
        <w:trPr>
          <w:trHeight w:hRule="exact" w:val="376.76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1.3.2.5</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Roizbudowa kanalizacji sanitrnej w m. Boleszkowice przy ul. Osadników</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2027</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1.3.2.6</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Rozbudowa kanalizacji sanitarnej w m. Gudzisz</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1.3.2.7</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Usuwanie wyrobów zawierajacych azbest z terenu gminy Boleszkowice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1.3.2.8</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Wymiana sieci wodociągowej w m. Chlewice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408" w:type="dxa"/>
          </w:tcPr>
          <w:p/>
        </w:tc>
      </w:tr>
      <w:tr>
        <w:trPr>
          <w:trHeight w:hRule="exact" w:val="534.4918"/>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1.3.2.9</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Przebudowa nawierzchni i utwardzenie miejsc postojowych na drodze PKP Boleszkowice - zwiększenie bezpieczeństwa dla użytkowników korzystających z dworca PKP Boleszkowice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600 000,00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600 000,00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600 000,00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1.3.2.10</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Sporządzenie planu ogólnego zagospodarowania przestrzennego gminy przy dofinansowaniu UMWP</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135 300,00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135 300,00</w:t>
            </w:r>
          </w:p>
        </w:tc>
        <w:tc>
          <w:tcPr>
            <w:tcW w:w="408" w:type="dxa"/>
          </w:tcPr>
          <w:p/>
        </w:tc>
      </w:tr>
      <w:tr>
        <w:trPr>
          <w:trHeight w:hRule="exact" w:val="1007.832"/>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Realizacja programu Ciepłe mieszkanie wymiana lub likwidacja źródeł ciepła na paliwo stałe oraz instalacja urzadzeń służących do celów ogrzewania lub przygotowania ciepłej wody, spełniających wymagania przepisów antysmogowych. Realizacja zadania będzie odbywała się poprzez udzielenie dotacji. - Poprawa stanu powietrza ciepłe mieszkanie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410 000,00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320 000,00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320 000,00</w:t>
            </w:r>
          </w:p>
        </w:tc>
        <w:tc>
          <w:tcPr>
            <w:tcW w:w="408" w:type="dxa"/>
          </w:tcPr>
          <w:p/>
        </w:tc>
      </w:tr>
      <w:tr>
        <w:trPr>
          <w:trHeight w:hRule="exact" w:val="534.4927"/>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Budowa trzech instalacji fotowoltaicznych w celu utworzenia spółdzielni energetycznej w Boleszkowicach - utworzenie spółdzielni energetycznej</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450 000,00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450 000,00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450 000,00</w:t>
            </w:r>
          </w:p>
        </w:tc>
        <w:tc>
          <w:tcPr>
            <w:tcW w:w="408" w:type="dxa"/>
          </w:tcPr>
          <w:p/>
        </w:tc>
      </w:tr>
      <w:tr>
        <w:trPr>
          <w:trHeight w:hRule="exact" w:val="376.7606"/>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1.3.2.13</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Modernizacja lokalnej oczyszczalni ścieków w Boleszkowicach wraz z zakupem wozu asenizacyjnego do obsługi punktu zlewnego</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5 040 000,00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1 764 000,00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1 764 000,00</w:t>
            </w:r>
          </w:p>
        </w:tc>
        <w:tc>
          <w:tcPr>
            <w:tcW w:w="408" w:type="dxa"/>
          </w:tcPr>
          <w:p/>
        </w:tc>
      </w:tr>
      <w:tr>
        <w:trPr>
          <w:trHeight w:hRule="exact" w:val="4553.178"/>
        </w:trPr>
        <w:tc>
          <w:tcPr>
            <w:tcW w:w="708" w:type="dxa"/>
          </w:tcPr>
          <w:p/>
        </w:tc>
        <w:tc>
          <w:tcPr>
            <w:tcW w:w="4666" w:type="dxa"/>
          </w:tcPr>
          <w:p/>
        </w:tc>
        <w:tc>
          <w:tcPr>
            <w:tcW w:w="1701" w:type="dxa"/>
          </w:tcPr>
          <w:p/>
        </w:tc>
        <w:tc>
          <w:tcPr>
            <w:tcW w:w="709" w:type="dxa"/>
          </w:tcPr>
          <w:p/>
        </w:tc>
        <w:tc>
          <w:tcPr>
            <w:tcW w:w="709" w:type="dxa"/>
          </w:tcPr>
          <w:p/>
        </w:tc>
        <w:tc>
          <w:tcPr>
            <w:tcW w:w="1134" w:type="dxa"/>
          </w:tcPr>
          <w:p/>
        </w:tc>
        <w:tc>
          <w:tcPr>
            <w:tcW w:w="1134" w:type="dxa"/>
          </w:tcPr>
          <w:p/>
        </w:tc>
        <w:tc>
          <w:tcPr>
            <w:tcW w:w="1134" w:type="dxa"/>
          </w:tcPr>
          <w:p/>
        </w:tc>
        <w:tc>
          <w:tcPr>
            <w:tcW w:w="408" w:type="dxa"/>
          </w:tcPr>
          <w:p/>
        </w:tc>
        <w:tc>
          <w:tcPr>
            <w:tcW w:w="726" w:type="dxa"/>
          </w:tcPr>
          <w:p/>
        </w:tc>
        <w:tc>
          <w:tcPr>
            <w:tcW w:w="1134" w:type="dxa"/>
          </w:tcPr>
          <w:p/>
        </w:tc>
        <w:tc>
          <w:tcPr>
            <w:tcW w:w="1134" w:type="dxa"/>
          </w:tcPr>
          <w:p/>
        </w:tc>
        <w:tc>
          <w:tcPr>
            <w:tcW w:w="408" w:type="dxa"/>
          </w:tcPr>
          <w:p/>
        </w:tc>
      </w:tr>
      <w:tr>
        <w:trPr>
          <w:trHeight w:hRule="exact" w:val="555.6598"/>
        </w:trPr>
        <w:tc>
          <w:tcPr>
            <w:tcW w:w="708" w:type="dxa"/>
          </w:tcPr>
          <w:p/>
        </w:tc>
        <w:tc>
          <w:tcPr>
            <w:tcW w:w="4666" w:type="dxa"/>
          </w:tcPr>
          <w:p/>
        </w:tc>
        <w:tc>
          <w:tcPr>
            <w:tcW w:w="1701" w:type="dxa"/>
          </w:tcPr>
          <w:p/>
        </w:tc>
        <w:tc>
          <w:tcPr>
            <w:tcW w:w="709" w:type="dxa"/>
          </w:tcPr>
          <w:p/>
        </w:tc>
        <w:tc>
          <w:tcPr>
            <w:tcW w:w="709" w:type="dxa"/>
          </w:tcPr>
          <w:p/>
        </w:tc>
        <w:tc>
          <w:tcPr>
            <w:tcW w:w="1134" w:type="dxa"/>
          </w:tcPr>
          <w:p/>
        </w:tc>
        <w:tc>
          <w:tcPr>
            <w:tcW w:w="1134" w:type="dxa"/>
          </w:tcPr>
          <w:p/>
        </w:tc>
        <w:tc>
          <w:tcPr>
            <w:tcW w:w="1134" w:type="dxa"/>
          </w:tcPr>
          <w:p/>
        </w:tc>
        <w:tc>
          <w:tcPr>
            <w:tcW w:w="408" w:type="dxa"/>
          </w:tcPr>
          <w:p/>
        </w:tc>
        <w:tc>
          <w:tcPr>
            <w:tcW w:w="3402" w:type="dxa"/>
            <w:gridSpan w:val="4"/>
            <w:tcBorders>
</w:tcBorders>
            <w:shd w:val="clear" w:color="#000000" w:fill="#FFFFFF"/>
            <w:vAlign w:val="top"/>
            <w:tcMar>
              <w:top w:w="0" w:type="dxa"/>
              <w:left w:w="38" w:type="dxa"/>
              <w:bottom w:w="0" w:type="dxa"/>
              <w:right w:w="38" w:type="dxa"/>
            </w:tcMar>
          </w:tcPr>
          <w:p>
            <w:pPr>
              <w:jc w:val="right"/>
              <w:spacing w:after="0" w:line="120" w:lineRule="auto"/>
              <w:rPr>
                <w:sz w:val="10"/>
                <w:szCs w:val="10"/>
              </w:rPr>
            </w:pPr>
            <w:r>
              <w:rPr>
                <w:rFonts w:ascii="Arial" w:hAnsi="Arial" w:cs="Arial"/>
                <w:color w:val="#000000"/>
                <w:sz w:val="10"/>
                <w:szCs w:val="10"/>
              </w:rPr>
              <w:t> Strona 2 z 2</w:t>
            </w:r>
          </w:p>
        </w:tc>
      </w:tr>
    </w:tbl>
    <w:p/>
    <w:sectPr>
      <w:pgSz w:w="16840" w:h="11907"/>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 Id="rId11" Type="http://schemas.openxmlformats.org/officeDocument/2006/relationships/image" Target="media/image1.png"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2009-06-17T07:33:19Z</dcterms:created>
  <dc:title>WPFPrzedsięwzięcia v1 (FastRep)</dc:title>
  <dc:creator>FastReport.NET</dc:creator>
</cp:coreProperties>
</file>